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C" w:rsidRDefault="00C0555C" w:rsidP="00C0555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555C" w:rsidRDefault="00CF6D05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05CB">
        <w:rPr>
          <w:rFonts w:ascii="Times New Roman" w:hAnsi="Times New Roman" w:cs="Times New Roman"/>
          <w:sz w:val="28"/>
          <w:szCs w:val="28"/>
        </w:rPr>
        <w:t xml:space="preserve">19.02.2020 </w:t>
      </w:r>
      <w:r w:rsidR="0095591B">
        <w:rPr>
          <w:rFonts w:ascii="Times New Roman" w:hAnsi="Times New Roman" w:cs="Times New Roman"/>
          <w:sz w:val="28"/>
          <w:szCs w:val="28"/>
        </w:rPr>
        <w:t xml:space="preserve"> №</w:t>
      </w:r>
      <w:r w:rsidR="00C105C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55C" w:rsidRDefault="00DB3FEA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5E6F" w:rsidRPr="00C0555C" w:rsidRDefault="00DB3FEA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СИСТЕМЕ </w:t>
      </w:r>
      <w:proofErr w:type="gramStart"/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ОПЛАТЫ ТРУДА РАБОТНИКОВ</w:t>
      </w:r>
      <w:bookmarkStart w:id="0" w:name="_GoBack"/>
      <w:bookmarkEnd w:id="0"/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 СИСТЕМЫ</w:t>
      </w:r>
      <w:proofErr w:type="gramEnd"/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DB3FEA" w:rsidRPr="00C0555C" w:rsidRDefault="00415E6F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ПОШЕХОНСКОГО МУНИЦИПАЛЬНОГО РАЙОНА</w:t>
      </w:r>
      <w:r w:rsidR="00656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FEA"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C0555C" w:rsidRDefault="00DB3FEA" w:rsidP="008A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0555C" w:rsidRDefault="00DB3FEA" w:rsidP="003D3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системе оплаты труда работников учреждений системы образования  (далее - Положение) разработано в соответствии с </w:t>
      </w:r>
      <w:hyperlink r:id="rId9" w:history="1">
        <w:r w:rsidRPr="00C05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C0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C05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188" w:rsidRPr="003D3188">
        <w:rPr>
          <w:rFonts w:ascii="Times New Roman" w:hAnsi="Times New Roman" w:cs="Times New Roman"/>
          <w:sz w:val="28"/>
          <w:szCs w:val="28"/>
        </w:rPr>
        <w:t>Постановления Правительства Ярославской области №903-п от 17.12.2019 г. «Об оплате труда работников  государственных автономных, бюджетных и казенных учреждений отрасли образования Ярославской области и о признании утратившим силу</w:t>
      </w:r>
      <w:proofErr w:type="gramEnd"/>
      <w:r w:rsidR="003D3188" w:rsidRPr="003D3188">
        <w:rPr>
          <w:rFonts w:ascii="Times New Roman" w:hAnsi="Times New Roman" w:cs="Times New Roman"/>
          <w:sz w:val="28"/>
          <w:szCs w:val="28"/>
        </w:rPr>
        <w:t xml:space="preserve"> отдельных постановлений Правительства области»,</w:t>
      </w:r>
      <w:r w:rsidR="003D3188">
        <w:rPr>
          <w:b/>
          <w:sz w:val="28"/>
          <w:szCs w:val="28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систему оплаты труда (далее - СОТ) работников учреждений образования </w:t>
      </w:r>
      <w:r w:rsidR="003D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 муниципального района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</w:t>
      </w:r>
      <w:r w:rsidR="003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распространяется на работников 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Пошехонского муниципального района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области,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финансируемых за счет средств районного бюджета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образовательных учреждений, организация образовательного процесса в которых осуществляется за счет средств областного бюджета (далее - образовательные учреждения).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формирования СОТ работников образовательных учреждений</w:t>
      </w:r>
      <w:r w:rsidR="00E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педагогических и руководящих работников к качественному труду;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привлечения в отрасль высококвалифицированных специалистов;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участия общественности в управлении образовательным учреждением.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Основными задачами формирования СОТ работников образовательных учреждений являются: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оплаты труда, обеспечивающего восстановление способности к труду;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качества педагогического труда;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взаимосвязи между качеством педагогического труда и доходом педагога;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стимулов к повышению профессионального уровня педагогов;</w:t>
      </w:r>
    </w:p>
    <w:p w:rsidR="00B044F7" w:rsidRDefault="00B044F7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образовательные учреждения молодых кадров;</w:t>
      </w:r>
      <w:proofErr w:type="gramStart"/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институциализация</w:t>
      </w:r>
      <w:proofErr w:type="spellEnd"/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гражданских институтов в материальном стимулировании работников образовательных учреждений.</w:t>
      </w:r>
      <w:r w:rsidR="00DB3FEA"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FE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1.6.Формирование СОТ работников образовательных учреждений базируется</w:t>
      </w:r>
      <w:r w:rsidR="00E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FE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принципах: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минимальных гарантий по оплате труда работников образовательных учреждений;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повышения качества работы.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.Образовательное учреждение, руководствуясь Методикой </w:t>
      </w:r>
      <w:proofErr w:type="gramStart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должностных окладов работников учреждений системы</w:t>
      </w:r>
      <w:proofErr w:type="gramEnd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Пошехонского муниципального района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утверждаемой постановлением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Пошехонского муниципального района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</w:t>
      </w:r>
      <w:proofErr w:type="gramStart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оплату труда работников, утвержденных учредителем в смете расходов</w:t>
      </w:r>
      <w:r w:rsidR="0068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в пределах средств субсидии на финансовое обеспечение выполнения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</w:t>
      </w:r>
      <w:proofErr w:type="gramEnd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объема выполняемой работы, путем умножения размера базового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оклада на величину повышающего коэффициента по соответствующему квалификационному уровню ПКГ</w:t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44D1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Размеры повышающих коэффициентов по отношению к базовому окладу по </w:t>
      </w:r>
      <w:proofErr w:type="gramStart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:rsidR="00DB3FEA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44D1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F31F2A" w:rsidRPr="00F31F2A" w:rsidRDefault="00F31F2A" w:rsidP="00F31F2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.9.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F2A">
        <w:rPr>
          <w:rFonts w:ascii="Times New Roman" w:hAnsi="Times New Roman" w:cs="Times New Roman"/>
          <w:sz w:val="28"/>
          <w:szCs w:val="28"/>
          <w:lang w:eastAsia="ru-RU"/>
        </w:rPr>
        <w:t>утвержда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>т штатное расписание на начало учебного и финансового года и представляет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его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Управление образования Администрации Пошехонского МР.</w:t>
      </w:r>
    </w:p>
    <w:p w:rsidR="00DB3FEA" w:rsidRPr="004D19B9" w:rsidRDefault="00DB3FEA" w:rsidP="00DB3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СИСТЕМА ОПЛАТЫ ТРУДА РАБОТНИКОВ ОБРАЗОВАТЕЛЬНОГО УЧРЕЖДЕНИЯ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2.1. СОТ</w:t>
      </w:r>
      <w:r w:rsidR="003D7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включает в себя: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базовые оклады (базовые ставки заработной платы);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повышающие коэффициенты;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выплаты компенсационного и стимулирующего характера.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Базовый оклад (базовая ставка заработной платы) – минимальный оклад (ставка) работника, осуществляющего профессиональную деятельность, применяемы</w:t>
      </w:r>
      <w:proofErr w:type="gramStart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применяемая) для расчета должностного оклада. 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110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Должностной оклад (ставка заработной платы) –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:rsidR="00F31F2A" w:rsidRDefault="00F31F2A" w:rsidP="00F31F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включают в себя </w:t>
      </w:r>
      <w:bookmarkStart w:id="2" w:name="sub_214"/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за наличие почетного звания, государственных наград, ученой степени, особые условия работы, </w:t>
      </w:r>
      <w:bookmarkEnd w:id="2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выплаты за дополнительную работу, а также прочие выплаты стимулирующего характера.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2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Категория работников </w:t>
            </w:r>
          </w:p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F31F2A" w:rsidRPr="00BD0121" w:rsidTr="000F2AB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211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hyperlink w:anchor="sub_999" w:history="1">
              <w:r w:rsidRPr="00BD012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212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0213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  <w:hyperlink w:anchor="sub_999" w:history="1">
              <w:r w:rsidRPr="00BD012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BD0121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1F2A"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Данная выплата устанавливается работникам по основному месту работы, </w:t>
            </w:r>
            <w:proofErr w:type="gram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 обязательным условием и не предусматривает</w:t>
            </w:r>
            <w:proofErr w:type="gramEnd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сокращение других стимулирующих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F31F2A" w:rsidRPr="00BD0121" w:rsidTr="000F2AB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E3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Медицинские работники, осуществляющие медицинское обслуживание обучающихся и 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воспитанников </w:t>
            </w:r>
            <w:r w:rsidR="000E3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proofErr w:type="gram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0E3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gramEnd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занимающие должность: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F2A" w:rsidRPr="00BD0121" w:rsidTr="000F2AB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 руб.</w:t>
            </w:r>
          </w:p>
        </w:tc>
      </w:tr>
      <w:tr w:rsidR="00F31F2A" w:rsidRPr="00BD0121" w:rsidTr="000F2AB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среднего медицинского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 руб.</w:t>
            </w:r>
          </w:p>
        </w:tc>
      </w:tr>
      <w:tr w:rsidR="00F31F2A" w:rsidRPr="00BD0121" w:rsidTr="000F2AB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BE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на выплату имеют медицинские работники </w:t>
            </w:r>
            <w:r w:rsidR="00BE0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учреждений, занимающие штатные должности врача и среднего медицинского персонала. Размер выплаты устанавливается пропорционально ставке занимаемой должности, установленной трудовым договором. Оплата </w:t>
            </w:r>
            <w:proofErr w:type="gram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производится за фактически отработанное время и учитывается</w:t>
            </w:r>
            <w:proofErr w:type="gramEnd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расчете среднего заработка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работники, которым назначаются ежемесячные вознаграждения за выполнение функций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ежемесячного вознаграждения указан в </w:t>
            </w:r>
            <w:proofErr w:type="gram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примечании</w:t>
            </w:r>
            <w:proofErr w:type="gramEnd"/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работники, выполняющие дополнительные виды работ (классное руководство, проверка тетрадей, заведование оборудованными учебными кабинетами, лабораториями, мастерскими и иные виды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 выплат определяются образовательным учреждением</w:t>
            </w:r>
          </w:p>
        </w:tc>
      </w:tr>
    </w:tbl>
    <w:bookmarkEnd w:id="1"/>
    <w:p w:rsidR="00942AED" w:rsidRPr="009C0EA2" w:rsidRDefault="00DB3FEA" w:rsidP="004D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EA2" w:rsidRPr="009C0EA2" w:rsidRDefault="009C0EA2" w:rsidP="009C0E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*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r w:rsidR="006F302B" w:rsidRPr="009C0EA2">
        <w:rPr>
          <w:rFonts w:ascii="Times New Roman" w:hAnsi="Times New Roman" w:cs="Times New Roman"/>
          <w:sz w:val="28"/>
          <w:szCs w:val="28"/>
        </w:rPr>
        <w:fldChar w:fldCharType="begin"/>
      </w:r>
      <w:r w:rsidRPr="009C0EA2">
        <w:rPr>
          <w:rFonts w:ascii="Times New Roman" w:hAnsi="Times New Roman" w:cs="Times New Roman"/>
          <w:sz w:val="28"/>
          <w:szCs w:val="28"/>
        </w:rPr>
        <w:instrText xml:space="preserve"> HYPERLINK \l "sub_10211" </w:instrText>
      </w:r>
      <w:r w:rsidR="006F302B" w:rsidRPr="009C0EA2">
        <w:rPr>
          <w:rFonts w:ascii="Times New Roman" w:hAnsi="Times New Roman" w:cs="Times New Roman"/>
          <w:sz w:val="28"/>
          <w:szCs w:val="28"/>
        </w:rPr>
        <w:fldChar w:fldCharType="separate"/>
      </w: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1 и 2, надбавка к должностному окладу устанавливается по основанию, предусмотренному пунктом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2.</w:t>
        </w:r>
      </w:hyperlink>
    </w:p>
    <w:p w:rsidR="009C0EA2" w:rsidRPr="009C0EA2" w:rsidRDefault="009C0EA2" w:rsidP="009C0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hAnsi="Times New Roman" w:cs="Times New Roman"/>
          <w:sz w:val="28"/>
          <w:szCs w:val="28"/>
          <w:lang w:eastAsia="ru-RU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</w:t>
      </w:r>
      <w:r w:rsidR="006F302B" w:rsidRPr="009C0EA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10212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, надбавка к должностному окладу устанавливается по основанию, предусмотренному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78" w:rsidRPr="00815B78" w:rsidRDefault="00DB3FEA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Примечания: </w:t>
      </w:r>
    </w:p>
    <w:p w:rsidR="00912452" w:rsidRDefault="0013499F" w:rsidP="009124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7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</w:t>
      </w:r>
      <w:proofErr w:type="gramStart"/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наполняемость, установленная 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учреждениях, расположенных в сельской местности;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</w:t>
      </w:r>
    </w:p>
    <w:p w:rsidR="00E62294" w:rsidRDefault="00E62294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вознаграждения определяется из расчета:</w:t>
      </w: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 рублей за каждого обучающегося в </w:t>
      </w:r>
      <w:proofErr w:type="gramStart"/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предельной наполняемостью 25 человек в образовательном учреждении, расположенном в городской местности;</w:t>
      </w:r>
    </w:p>
    <w:p w:rsidR="00E62294" w:rsidRDefault="00E62294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72 рубля за каждого обучающегося в </w:t>
      </w:r>
      <w:proofErr w:type="gramStart"/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здоровья;</w:t>
      </w:r>
    </w:p>
    <w:p w:rsidR="00912452" w:rsidRDefault="00912452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C7" w:rsidRPr="00815B78" w:rsidRDefault="00936EC7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-размер </w:t>
      </w:r>
      <w:r w:rsidRPr="00097F00">
        <w:rPr>
          <w:rFonts w:ascii="Times New Roman" w:hAnsi="Times New Roman" w:cs="Times New Roman"/>
          <w:sz w:val="28"/>
          <w:szCs w:val="28"/>
          <w:lang w:eastAsia="ru-RU"/>
        </w:rPr>
        <w:t>ежемесячного вознаграждения за выполнение функций классного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превышать 1000 рублей;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- 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Выплаты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устанавливаются руководителем образовательного учреждения по соглашению сторон.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6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их руководителей и работников.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7"/>
      <w:bookmarkEnd w:id="7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Критерии, показатели и периодичность оценки эффективности деятельности руководителей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определяются нормативными актами департамента и отражаются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в трудовом договоре.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9"/>
      <w:bookmarkEnd w:id="8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условия распределения стимулирующих выплат работникам устанавливаются локальным актом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самостоятельно при участии профсоюзного комитета или иного общественного органа самоуправления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о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беспечивающего </w:t>
      </w:r>
      <w:proofErr w:type="gramStart"/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демократический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по представлению руководителя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представляет в профсоюзный комитет или иной общественный орган самоуправления 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обеспечивающий </w:t>
      </w:r>
      <w:proofErr w:type="gramStart"/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демократический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Выплаты стимулирующего характера работникам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производятся на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руководителя в соответствии с показателями эффективности их деятельности, разработанными </w:t>
      </w:r>
      <w:r w:rsidR="003D79D5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 характера руководителям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производятся на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МКУ Управления образования Администрации Пошехонского МР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, в соответствии с разработанными критериями оценки их деятельности.</w:t>
      </w:r>
    </w:p>
    <w:bookmarkEnd w:id="9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вышеперечисленных выплат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0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Критерии, показатели и периодичность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эффективности деятельности работников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локальными нормативными актами, коллективными договорами, соглашениями, трудовыми договорами и определяются с учетом достижения целей и показателей эффективности деятельности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bookmarkEnd w:id="10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815B78" w:rsidRPr="00815B78" w:rsidRDefault="009D63B3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Заработная плата работников образовательных</w:t>
      </w:r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устанавливается с учетом продолжительности рабочего времени, определенного трудовым договором. </w:t>
      </w:r>
      <w:proofErr w:type="gramStart"/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времени (нормы часов педагогической работы за ставку заработной платы) педагогических работников, порядок определения учебной нагрузки педагогических работников, оговариваемой в трудовом договоре, установлены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proofErr w:type="gramEnd"/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22"/>
      <w:r w:rsidRPr="00815B78">
        <w:rPr>
          <w:rFonts w:ascii="Times New Roman" w:hAnsi="Times New Roman" w:cs="Times New Roman"/>
          <w:sz w:val="28"/>
          <w:szCs w:val="28"/>
          <w:lang w:eastAsia="ru-RU"/>
        </w:rPr>
        <w:t>2.2. Объем средств на оплату труда работников казенного учреждения определяется учредителем в смете учреждения.</w:t>
      </w:r>
    </w:p>
    <w:bookmarkEnd w:id="11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средств на оплату труда работников бюджетного и автономного учреждений определяется учреждением самостоятельно в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на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финансовое обеспечение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муниципального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2.3. Соотношение среднемесячной заработной платы руководителей, заместителей руководителей, главных бухгалтеров и средней заработной платы остальных работников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формируемой за счет всех финансовых источников, рассчитывается за календарный год.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</w:t>
      </w:r>
      <w:r w:rsidR="00E62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№ 922 «Об особенностях порядка исчисления средней заработной платы».</w:t>
      </w:r>
      <w:proofErr w:type="gramEnd"/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Ярославской области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ся в кратности, не превышающей 2,5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2.4. Педагогическим работникам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впервые поступающим на работу или имеющим стаж педагогической работы менее 5 лет,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заключившим трудовой договор с 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 после окончания профессиональной образовательной организации или образовательной организации высшего образования в течение 5 лет, работающим в </w:t>
      </w:r>
      <w:r w:rsidR="00936EC7">
        <w:rPr>
          <w:rFonts w:ascii="Times New Roman" w:hAnsi="Times New Roman" w:cs="Times New Roman"/>
          <w:sz w:val="28"/>
          <w:szCs w:val="28"/>
          <w:lang w:eastAsia="ru-RU"/>
        </w:rPr>
        <w:t xml:space="preserve">Пошехонском муниципальном районе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Ярославской области, на основании заявления производится выплата единовременного пособия.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</w:t>
      </w:r>
      <w:r w:rsidR="009D63B3" w:rsidRPr="000F2AB2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0F2AB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учреждением, в течение 6 месяцев с момента заключения трудового договора.</w:t>
      </w:r>
      <w:proofErr w:type="gramEnd"/>
    </w:p>
    <w:p w:rsidR="008A23E4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2633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Единовременное пособие выплачивается педагогическим работникам </w:t>
      </w:r>
      <w:r w:rsidR="000F2AB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за счет средств областного бюджета, предусмотренных </w:t>
      </w:r>
      <w:r w:rsidR="000F2AB2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 в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на </w:t>
      </w:r>
      <w:r w:rsidR="00936EC7">
        <w:rPr>
          <w:rFonts w:ascii="Times New Roman" w:hAnsi="Times New Roman" w:cs="Times New Roman"/>
          <w:sz w:val="28"/>
          <w:szCs w:val="28"/>
          <w:lang w:eastAsia="ru-RU"/>
        </w:rPr>
        <w:t>выполнение муниципального задания.</w:t>
      </w:r>
      <w:bookmarkStart w:id="13" w:name="sub_10263"/>
      <w:bookmarkEnd w:id="12"/>
      <w:r w:rsidR="008A23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15B78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bookmarkEnd w:id="13"/>
    <w:p w:rsidR="00385939" w:rsidRPr="00D24641" w:rsidRDefault="00385939" w:rsidP="0081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1" w:rsidRDefault="00DB3FEA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708" w:rsidRDefault="00BA6708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1" w:rsidRDefault="00D24641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9" w:rsidRDefault="00A22949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9" w:rsidRDefault="00A22949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D3" w:rsidRPr="00B03DD3" w:rsidRDefault="00B03DD3" w:rsidP="00B03DD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 xml:space="preserve"> Пошехонского  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муниципального района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  <w:t>от ____________ № ____</w:t>
      </w:r>
    </w:p>
    <w:p w:rsidR="00DB3FEA" w:rsidRPr="00B03DD3" w:rsidRDefault="00DB3FEA" w:rsidP="00B03D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proofErr w:type="gramStart"/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ДОЛЖНОСТНЫХ ОКЛАДОВ РАБОТНИКОВ УЧРЕЖДЕНИЙ СИСТЕМЫ</w:t>
      </w:r>
      <w:proofErr w:type="gramEnd"/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="0043223D"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ПОШЕХОНСКОГО МУНИЦИПАЛЬНОГО РАЙОНА</w:t>
      </w:r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ОБЛАСТИ</w:t>
      </w:r>
    </w:p>
    <w:p w:rsidR="00E62294" w:rsidRPr="008C62BC" w:rsidRDefault="006F302B" w:rsidP="00E62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1" o:title=""/>
          </v:shape>
          <w:control r:id="rId12" w:name="DefaultOcxName1" w:shapeid="_x0000_i1029"/>
        </w:object>
      </w:r>
      <w:r w:rsidR="00E62294" w:rsidRPr="008C62BC">
        <w:rPr>
          <w:rFonts w:ascii="Times New Roman" w:hAnsi="Times New Roman" w:cs="Times New Roman"/>
          <w:sz w:val="28"/>
          <w:szCs w:val="28"/>
          <w:lang w:eastAsia="ru-RU"/>
        </w:rPr>
        <w:t>1. Размер базового оклада</w:t>
      </w:r>
    </w:p>
    <w:p w:rsid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«руководящие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</w:t>
      </w:r>
      <w:r w:rsidRPr="008C62B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общего образования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 или основную общеобразовательную программу дошкольного образования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составляет </w:t>
      </w:r>
      <w:r w:rsidRPr="008C62B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5502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общего образования» составляет </w:t>
      </w:r>
      <w:r w:rsidRPr="00F614E9">
        <w:rPr>
          <w:rFonts w:ascii="Times New Roman" w:hAnsi="Times New Roman" w:cs="Times New Roman"/>
          <w:sz w:val="28"/>
          <w:szCs w:val="28"/>
          <w:lang w:eastAsia="ru-RU"/>
        </w:rPr>
        <w:t>6364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работники, работающие в дошкольных </w:t>
      </w:r>
      <w:proofErr w:type="gram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, реализующих основную общеобразовательную программу дошкольного образования» составляет 7159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 детей (структурных подразделений, реализующих дополнительные общеобразовательные программы)» составляет 7792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Размер базового оклада для категории работн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иков «педагогические работники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среднего профессионального образования» составляет 5072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Размер базового оклада для категории работников «педагогические работники учреждений для детей-сирот и детей, оставшихся без попечения родителей» составляет 5247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прочих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учреждений» составляет 4795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«медицинские работники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учреждений» составляет 5764 рубля.</w:t>
      </w:r>
    </w:p>
    <w:p w:rsid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остальных категорий работников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составляет 5001 рубль.</w:t>
      </w:r>
    </w:p>
    <w:p w:rsidR="008A23E4" w:rsidRDefault="008A23E4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2. Схема расчета должностных окладов руководящих работников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Основным критерием для определения размеров дол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жностных окладов руководителей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являются группы по оплате их труда, определяемые на основе объёмных показателей деятельности учреждений.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К объёмным показателям деятельности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относятся показатели, характеризующие масштаб руководства учреждением: численность работников учреждения, количество обслуживаемых человек, режим работы, организационная структура учреждения, функциональность деятельности и другие показатели. Перечень объёмных показателей деятельности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и порядок отнесения к группам по оплате труда </w:t>
      </w:r>
      <w:r w:rsidR="00E62294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 к данной Методике</w:t>
      </w:r>
      <w:proofErr w:type="gramStart"/>
      <w:r w:rsidR="00E622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22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группы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по оплате труда руководителей (далее – группа) (1,88 – 3,33);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занимаемой должности (0,6 – 1,0);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5"/>
      <w:bookmarkEnd w:id="14"/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руководящей работы (0,2 – 0,8)</w:t>
      </w:r>
      <w:bookmarkStart w:id="16" w:name="sub_26"/>
      <w:bookmarkEnd w:id="15"/>
      <w:r w:rsidRPr="008C62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специфики работы учреждения (0,1 – 0,5).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0"/>
      <w:bookmarkEnd w:id="16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группы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</w:tblGrid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в зависимости от группы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2,78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занимаемой должности (Кд)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в зависимости от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</w:t>
            </w:r>
          </w:p>
        </w:tc>
      </w:tr>
      <w:tr w:rsidR="008C62BC" w:rsidRPr="008C62BC" w:rsidTr="00A627B9">
        <w:trPr>
          <w:tblHeader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BE0F47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начальник, заведующий)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директора, начальника, заведующего)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директора, начальника, заведующего), руководитель филиала, старший мастер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подразделения, за исключением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руководящей работы (Кс)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руководящей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стажа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 лет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Должностные оклады руководящих работников </w:t>
      </w:r>
      <w:r w:rsidR="00F614E9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учреждений, за исключением руководящих работников </w:t>
      </w:r>
      <w:r w:rsidR="00F614E9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D32B0E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учреждений, реализующих программу общего образования</w:t>
      </w:r>
      <w:r w:rsidR="00D32B0E">
        <w:rPr>
          <w:rFonts w:ascii="Times New Roman" w:hAnsi="Times New Roman" w:cs="Times New Roman"/>
          <w:sz w:val="28"/>
          <w:szCs w:val="28"/>
        </w:rPr>
        <w:t xml:space="preserve"> или основную </w:t>
      </w:r>
    </w:p>
    <w:p w:rsidR="008C62BC" w:rsidRPr="008C62BC" w:rsidRDefault="00D32B0E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62BC" w:rsidRPr="008C62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62BC">
        <w:rPr>
          <w:rFonts w:ascii="Times New Roman" w:hAnsi="Times New Roman" w:cs="Times New Roman"/>
          <w:sz w:val="28"/>
          <w:szCs w:val="28"/>
        </w:rPr>
        <w:t>с учетом коэффициентов (5001 × (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 xml:space="preserve"> × Кд + Кс)</w:t>
      </w:r>
      <w:proofErr w:type="gramEnd"/>
    </w:p>
    <w:tbl>
      <w:tblPr>
        <w:tblStyle w:val="41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8C62BC" w:rsidRPr="008C62BC" w:rsidTr="00633E77">
        <w:trPr>
          <w:trHeight w:val="20"/>
        </w:trPr>
        <w:tc>
          <w:tcPr>
            <w:tcW w:w="4786" w:type="dxa"/>
            <w:vMerge w:val="restar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Месячные должностные оклады по группам оплаты труда,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рублях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2BC" w:rsidRPr="008C62BC" w:rsidTr="00633E77">
        <w:trPr>
          <w:trHeight w:hRule="exact" w:val="323"/>
        </w:trPr>
        <w:tc>
          <w:tcPr>
            <w:tcW w:w="4786" w:type="dxa"/>
            <w:vMerge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8C62BC" w:rsidRPr="008C62BC" w:rsidTr="00A627B9">
        <w:trPr>
          <w:trHeight w:val="20"/>
          <w:tblHeader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17654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14903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12152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10402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 от 5 лет и более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20654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17904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15153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13403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15988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13513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11037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9462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18989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16513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14038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руководителя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директора, начальника, заведующего), руководитель филиала, старший мастер,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14323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12122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9922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17323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15123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12923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11522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13490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11427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9364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16491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14428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12365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11052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10992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9342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7692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12342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10692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9642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оклады руководящих работников </w:t>
      </w:r>
      <w:r w:rsidR="00D32B0E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</w:p>
    <w:p w:rsidR="00D32B0E" w:rsidRDefault="008C62BC" w:rsidP="00D3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учреждений, реализующих программу общего образования</w:t>
      </w:r>
      <w:r w:rsidR="00D32B0E" w:rsidRPr="00D32B0E">
        <w:rPr>
          <w:rFonts w:ascii="Times New Roman" w:hAnsi="Times New Roman" w:cs="Times New Roman"/>
          <w:sz w:val="28"/>
          <w:szCs w:val="28"/>
        </w:rPr>
        <w:t xml:space="preserve"> </w:t>
      </w:r>
      <w:r w:rsidR="00D32B0E">
        <w:rPr>
          <w:rFonts w:ascii="Times New Roman" w:hAnsi="Times New Roman" w:cs="Times New Roman"/>
          <w:sz w:val="28"/>
          <w:szCs w:val="28"/>
        </w:rPr>
        <w:t xml:space="preserve">или основную </w:t>
      </w:r>
    </w:p>
    <w:p w:rsidR="008C62BC" w:rsidRPr="008C62BC" w:rsidRDefault="00D32B0E" w:rsidP="00D32B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с учетом коэффициентов (</w:t>
      </w:r>
      <w:r w:rsidRPr="008C62BC">
        <w:rPr>
          <w:rFonts w:ascii="Times New Roman" w:hAnsi="Times New Roman" w:cs="Times New Roman"/>
          <w:sz w:val="28"/>
          <w:szCs w:val="28"/>
        </w:rPr>
        <w:t>5502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×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× Кд + Кс))</w:t>
      </w:r>
    </w:p>
    <w:tbl>
      <w:tblPr>
        <w:tblStyle w:val="51"/>
        <w:tblW w:w="491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1188"/>
        <w:gridCol w:w="1188"/>
        <w:gridCol w:w="1188"/>
        <w:gridCol w:w="1190"/>
      </w:tblGrid>
      <w:tr w:rsidR="008C62BC" w:rsidRPr="008C62BC" w:rsidTr="00E62294">
        <w:tc>
          <w:tcPr>
            <w:tcW w:w="2612" w:type="pct"/>
            <w:vMerge w:val="restar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</w:t>
            </w:r>
          </w:p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должности работника </w:t>
            </w:r>
          </w:p>
        </w:tc>
        <w:tc>
          <w:tcPr>
            <w:tcW w:w="2388" w:type="pct"/>
            <w:gridSpan w:val="4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Месячные должностные оклады по группам оплаты труда,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рублях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C62BC" w:rsidRPr="008C62BC" w:rsidTr="00E62294">
        <w:tc>
          <w:tcPr>
            <w:tcW w:w="2612" w:type="pct"/>
            <w:vMerge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99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615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615" w:type="pct"/>
            <w:hideMark/>
          </w:tcPr>
          <w:p w:rsidR="008C62BC" w:rsidRPr="008C62BC" w:rsidRDefault="008C62BC" w:rsidP="001278F6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19422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16396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13370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11444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22723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19697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16671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14745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1843"/>
        </w:trPr>
        <w:tc>
          <w:tcPr>
            <w:tcW w:w="2615" w:type="pct"/>
            <w:hideMark/>
          </w:tcPr>
          <w:p w:rsidR="008C62BC" w:rsidRPr="008C62BC" w:rsidRDefault="008C62BC" w:rsidP="001278F6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Заместитель руководителя (заместитель директора, начальника, заведующего), руководитель филиала, старший мастер,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15758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13337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10916</w:t>
            </w:r>
          </w:p>
        </w:tc>
        <w:tc>
          <w:tcPr>
            <w:tcW w:w="597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9375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19059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16638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14217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12677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14842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12572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10302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18143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15873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13604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12159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944"/>
        </w:trPr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12093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10278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8462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7307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15395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13579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11763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10608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3. Схема расчета должностных окладов (ставок заработной платы) педагогических работников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уровня образования (0,1);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работы (0,1 – 0,3);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напряженности (0,02 – 0,5);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квалификационной категории (0,2 – 0,8);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специфики работы учреждения (0,1 – 0,5).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38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 специфики работы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 и квалификационной категории.</w:t>
      </w:r>
    </w:p>
    <w:bookmarkEnd w:id="18"/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уровня образования (</w:t>
      </w:r>
      <w:proofErr w:type="gram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388"/>
        <w:gridCol w:w="3972"/>
      </w:tblGrid>
      <w:tr w:rsidR="008C62BC" w:rsidRPr="008C62BC" w:rsidTr="00A627B9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в зависимости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уровня образования </w:t>
            </w:r>
          </w:p>
        </w:tc>
      </w:tr>
      <w:tr w:rsidR="008C62BC" w:rsidRPr="008C62BC" w:rsidTr="00A627B9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работы (Кс)</w:t>
      </w: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4"/>
        <w:gridCol w:w="4202"/>
      </w:tblGrid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0 до 10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23"/>
        <w:tblW w:w="4888" w:type="pct"/>
        <w:tblInd w:w="108" w:type="dxa"/>
        <w:tblLook w:val="00A0" w:firstRow="1" w:lastRow="0" w:firstColumn="1" w:lastColumn="0" w:noHBand="0" w:noVBand="0"/>
      </w:tblPr>
      <w:tblGrid>
        <w:gridCol w:w="5706"/>
        <w:gridCol w:w="4204"/>
      </w:tblGrid>
      <w:tr w:rsidR="008C62BC" w:rsidRPr="008C62BC" w:rsidTr="00A627B9">
        <w:trPr>
          <w:trHeight w:val="810"/>
        </w:trPr>
        <w:tc>
          <w:tcPr>
            <w:tcW w:w="2879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Коэффициент квалификационной категории* </w:t>
            </w:r>
          </w:p>
        </w:tc>
      </w:tr>
      <w:tr w:rsidR="008C62BC" w:rsidRPr="008C62BC" w:rsidTr="00A627B9">
        <w:tc>
          <w:tcPr>
            <w:tcW w:w="2879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I 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0,4 </w:t>
            </w:r>
          </w:p>
        </w:tc>
      </w:tr>
      <w:tr w:rsidR="008C62BC" w:rsidRPr="008C62BC" w:rsidTr="00A627B9">
        <w:tc>
          <w:tcPr>
            <w:tcW w:w="2879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Высшая 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0,8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*Для выпускников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6521"/>
        <w:gridCol w:w="2179"/>
      </w:tblGrid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Коэффициент напряженности</w:t>
            </w:r>
          </w:p>
        </w:tc>
      </w:tr>
      <w:tr w:rsidR="008C62BC" w:rsidRPr="008C62BC" w:rsidTr="00A627B9">
        <w:trPr>
          <w:tblHeader/>
          <w:jc w:val="center"/>
        </w:trPr>
        <w:tc>
          <w:tcPr>
            <w:tcW w:w="764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преподаватель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учреждения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633E7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образовательных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учреждений, реализующих программу общего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Учитель, учитель-дефектолог, учитель-логопед 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Преподаватель-организатор основ безопасности жизнедеятельности, старший методист (воспитатель,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0,07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тьютор</w:t>
            </w:r>
            <w:proofErr w:type="spell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старший вожатый, музыкальный руководитель, концертмейстер, педагог-библиотекарь</w:t>
            </w:r>
            <w:proofErr w:type="gramEnd"/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работники, работающие в дошкольных группах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образовательных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учреждений, реализующих основную общеобразовательную программу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дошкольного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0,4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методист (педагог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образования), методист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0,2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.4.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 музыкальный руководитель, концертмейстер,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инструктор по физкультуре, инструктор по труду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proofErr w:type="gramStart"/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proofErr w:type="gramEnd"/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в иных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учреждениях)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методист (тренер-преподаватель, инструктор-методист,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воспитатель),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концертмейстер, инструктор по физической культуре, инструктор-методист (в том числе по физической культуре и спорту, по туризму), </w:t>
            </w:r>
            <w:proofErr w:type="spell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proofErr w:type="gramStart"/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профессиональных образовательных организаций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методист, преподаватель, преподаватель-организатор основ безопасности жизнедеятельности, руководитель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физического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воспитания, старший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Мастер производственного обучения, методист,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музыкальный руководитель, концертмейстер, старший вожатый, инструктор по физической культуре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учреждений для детей-сирот и детей, оставшихся без попечения родителей, и прочих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учреждений</w:t>
            </w:r>
            <w:proofErr w:type="gramEnd"/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методист (педагог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воспитатель), преподаватель,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образования, музыкальный руководитель, концертмейстер, логопед,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прочих </w:t>
            </w:r>
            <w:proofErr w:type="gramStart"/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proofErr w:type="gram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методист, преподаватель,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Должностные оклады (ставки заработной платы) с учетом</w:t>
      </w:r>
    </w:p>
    <w:p w:rsidR="008C62BC" w:rsidRPr="008C62BC" w:rsidRDefault="008C62BC" w:rsidP="008C62BC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коэффициентов (базовый оклад × (1</w:t>
      </w:r>
      <w:proofErr w:type="gram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+ К</w:t>
      </w:r>
      <w:proofErr w:type="gram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 + Кс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Едк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*)</w:t>
      </w:r>
    </w:p>
    <w:p w:rsidR="008C62BC" w:rsidRPr="008C62BC" w:rsidRDefault="008C62BC" w:rsidP="008C62BC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8C62BC" w:rsidRPr="008C62BC" w:rsidTr="00A627B9">
        <w:tc>
          <w:tcPr>
            <w:tcW w:w="709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5670" w:type="dxa"/>
            <w:gridSpan w:val="4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(ставки заработной платы) с учетом коэффициентов в месяц,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709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</w:tr>
      <w:tr w:rsidR="008C62BC" w:rsidRPr="008C62BC" w:rsidTr="00A627B9">
        <w:tc>
          <w:tcPr>
            <w:tcW w:w="709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10 лет</w:t>
            </w:r>
          </w:p>
        </w:tc>
        <w:tc>
          <w:tcPr>
            <w:tcW w:w="1417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лет и более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31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11988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учреждений, 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14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9864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Преподаватель-организатор основ безопасности жизнедеятельности, старший методист (воспитатель, 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15274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13810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старший вожатый, музыкальный руководитель, концертмейстер, педагог-библиотекарь,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33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43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работники, работающие в дошкольных группах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</w:t>
            </w:r>
            <w:r w:rsidR="006435F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ых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учреждений, реализующих основную общеобразовательную программу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15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18613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17540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16824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методист (педагог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педагог-организатор, социальный педагог, музыкальный руководитель, концертмейстер, 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образования, инструктор по физкультуре, инструктор по труду,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высшее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BE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="006435F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6435F2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иных </w:t>
            </w:r>
            <w:r w:rsidR="00BE0F4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образовательных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учреждений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16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19090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11688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14805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17922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10909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14026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17142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социальный педагог, педагог-организатор, 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образования, концертмейстер, инструктор по физической культуре, инструктор-методист (в том числе по физической культуре и спорту, по туризму),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1F6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1F650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образовательных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 xml:space="preserve">профессиональных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17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методист, преподаватель, преподаватель-организатор основ безопасности жизнедеятельности, руководитель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воспитания, старший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11666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11158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высшую квалификационную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8775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10803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образования, музыкальный руководитель, концертмейстер, старший вожатый, инструктор по физической культуре,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9231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6695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18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методист (педагог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образования, воспитатель),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7871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12068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9445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высшую квалификационную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1F6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прочих </w:t>
            </w:r>
            <w:r w:rsidR="001F6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11748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6713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8631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10549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4. Схема расчета должностных окладов медицинских работников </w:t>
      </w:r>
      <w:r w:rsidR="001F650D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работы (0,02 – 0,2);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квалификационной категории (0,2 – 0,5);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напряженности (0,01 – 0,1). </w:t>
      </w: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работы (Кс)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0,02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категории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48"/>
        <w:gridCol w:w="2412"/>
      </w:tblGrid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напряженности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Врач-специалист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0,02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Фельдшер, медицинская сестра по массажу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0,01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Должностные оклады с учетом коэффициентов</w:t>
      </w: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(5764 × (1 + Кс +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proofErr w:type="gram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1276"/>
        <w:gridCol w:w="1276"/>
      </w:tblGrid>
      <w:tr w:rsidR="008C62BC" w:rsidRPr="008C62BC" w:rsidTr="00657E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и стажа работы в месяц,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657EC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лет и более</w:t>
            </w:r>
          </w:p>
        </w:tc>
      </w:tr>
      <w:tr w:rsidR="008C62BC" w:rsidRPr="008C62BC" w:rsidTr="00A627B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7493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10375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физкультуре,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7032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9914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Фельдшер, медицинская сестра по массажу,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6974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8127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8704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9856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0E3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сестра, медицинская, медицинская сестра диетическая,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9799</w:t>
            </w:r>
          </w:p>
        </w:tc>
      </w:tr>
      <w:tr w:rsidR="008C62BC" w:rsidRPr="008C62BC" w:rsidTr="00A627B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уровня профессиональной квалификационной группы (0,8 – 1,92);</w:t>
      </w:r>
    </w:p>
    <w:p w:rsidR="00951C63" w:rsidRDefault="008C62BC" w:rsidP="00BE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квалификационного уровня (0,23 – 0,79).</w:t>
      </w:r>
      <w:r w:rsidR="00951C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C62BC" w:rsidRPr="008C62BC" w:rsidRDefault="008C62BC" w:rsidP="00BE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уровня профессиональной квалификационной группы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Кугр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уровня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0,8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0,96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1,12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1,92 </w:t>
            </w:r>
          </w:p>
        </w:tc>
      </w:tr>
    </w:tbl>
    <w:p w:rsidR="00951C63" w:rsidRDefault="00951C63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квалификационного уровня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Ккву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Квалификационный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0,23 – 0,47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0,39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95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работников физической культуры и спорта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0,47 – 0,71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0,39 – 0,63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0,43 – 0,67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0,47 – 0,71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0,51 – 0,75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0,55 – 0,79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Должностные оклады с учетом коэффициентов (5001 × (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Кугр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Ккву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>))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Профессии рабочих первого уровня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084"/>
      </w:tblGrid>
      <w:tr w:rsidR="008C62BC" w:rsidRPr="008C62BC" w:rsidTr="00A627B9">
        <w:tc>
          <w:tcPr>
            <w:tcW w:w="2802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2802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8C62BC" w:rsidRPr="008C62BC" w:rsidRDefault="008C62BC" w:rsidP="00A627B9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Грузчик, дворник,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садовник, уборщик производственных помещений, уборщик служебных помещений</w:t>
            </w:r>
          </w:p>
        </w:tc>
        <w:tc>
          <w:tcPr>
            <w:tcW w:w="3084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5551</w:t>
            </w:r>
          </w:p>
        </w:tc>
      </w:tr>
    </w:tbl>
    <w:p w:rsidR="008C62BC" w:rsidRPr="008C62BC" w:rsidRDefault="008C62BC" w:rsidP="008C62BC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lastRenderedPageBreak/>
        <w:t>Профессии рабочих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Квалифика</w:t>
            </w: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  <w:t>цион</w:t>
            </w: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  <w:t>ный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52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13" w:history="1">
              <w:r w:rsidRPr="008C62B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брошюровщик, буфетчик, возчик, гардеробщик, дезинфектор, егерь,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5951 – 7151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5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Истопник, кастелянша, кладовщик, 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r w:rsidR="0065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подсобный рабочий</w:t>
            </w:r>
            <w:proofErr w:type="gramStart"/>
            <w:r w:rsidR="0065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5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рабочий по комплексному обслуживанию зданий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14" w:history="1">
              <w:r w:rsidRPr="008C62B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водитель автомобиля, водитель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автобуса, механик по обслуживанию звуковой техники, тракторист, кочегар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6751 – 7552</w:t>
            </w:r>
          </w:p>
        </w:tc>
      </w:tr>
    </w:tbl>
    <w:p w:rsidR="005039CA" w:rsidRPr="008C62BC" w:rsidRDefault="005039CA" w:rsidP="00503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рабочих четвертого</w:t>
      </w:r>
      <w:r w:rsidRPr="008C62BC">
        <w:rPr>
          <w:rFonts w:ascii="Times New Roman" w:hAnsi="Times New Roman" w:cs="Times New Roman"/>
          <w:sz w:val="28"/>
          <w:szCs w:val="28"/>
        </w:rPr>
        <w:t xml:space="preserve"> уровня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084"/>
      </w:tblGrid>
      <w:tr w:rsidR="005039CA" w:rsidRPr="008C62BC" w:rsidTr="00E62294">
        <w:tc>
          <w:tcPr>
            <w:tcW w:w="2802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5039CA" w:rsidRPr="008C62BC" w:rsidTr="00E62294">
        <w:tc>
          <w:tcPr>
            <w:tcW w:w="2802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5039CA" w:rsidRPr="008C62BC" w:rsidRDefault="005039CA" w:rsidP="00E62294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Водитель школьного автобуса</w:t>
            </w:r>
          </w:p>
        </w:tc>
        <w:tc>
          <w:tcPr>
            <w:tcW w:w="3084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11552-12354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Учебно-вспомогательный персонал первого уровня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410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5551 – 6751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Учебно-вспомогательный персонал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Дежурный по режиму, 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6351 – 7552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Диспетчер, старший дежурный по режиму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работников физической культуры и спорта первого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5551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6751</w:t>
            </w:r>
          </w:p>
        </w:tc>
      </w:tr>
    </w:tbl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keepNext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работников третьего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951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8352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7952 – 9152</w:t>
            </w:r>
          </w:p>
        </w:tc>
      </w:tr>
    </w:tbl>
    <w:p w:rsidR="008C62BC" w:rsidRPr="008C62BC" w:rsidRDefault="008C62BC" w:rsidP="008C62B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первого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512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5951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7151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 первого 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7351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Диспетчер, администратор, инспектор по кадрам, инспектор по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6751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7952</w:t>
            </w:r>
          </w:p>
        </w:tc>
      </w:tr>
      <w:tr w:rsidR="008C62BC" w:rsidRPr="008C62BC" w:rsidTr="00A627B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520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2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6951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8152</w:t>
            </w:r>
          </w:p>
        </w:tc>
      </w:tr>
      <w:tr w:rsidR="008C62BC" w:rsidRPr="008C62BC" w:rsidTr="00A627B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503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bookmarkEnd w:id="2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8352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7351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8552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гаража, начальник (заведующий)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7552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8752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третьего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Аналитик, аудитор, бухгалтер, бухгалтер-ревизор,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инженер, инженер по надзору за строительством, инженер-программист (программист), инженер-электроник (электроник), менеджер, переводчик, психолог, специалист по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защите информации, специалист по кадрам, специалист,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8752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7752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8952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Главные специалисты в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отделах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отделениях, лабораториях, мастерских, 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7952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9152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(начальника, заведующего) филиал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ом), руководителя структурного подразделения, помощник проректора, помощник 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8352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9552</w:t>
            </w:r>
          </w:p>
        </w:tc>
      </w:tr>
    </w:tbl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 Коэффициент </w:t>
      </w:r>
      <w:r w:rsidR="00A627B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6.1. Коэффициент: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 коэффиц</w:t>
      </w:r>
      <w:r w:rsidR="000E39A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иент специфики работы </w:t>
      </w: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</w:t>
      </w:r>
      <w:r w:rsidR="000E39A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бразовательного </w:t>
      </w: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учреждения (0,1 – 0,5).</w:t>
      </w:r>
    </w:p>
    <w:p w:rsidR="008C62BC" w:rsidRPr="008C62BC" w:rsidRDefault="000E39AD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Коэффициент специфики работы образовательного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(Кс) включает в себя: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повышение должностных окладов (ставок заработной платы);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компенсационные выплаты.</w:t>
      </w:r>
    </w:p>
    <w:tbl>
      <w:tblPr>
        <w:tblStyle w:val="32"/>
        <w:tblW w:w="4944" w:type="pct"/>
        <w:tblBorders>
          <w:bottom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1"/>
        <w:gridCol w:w="3452"/>
      </w:tblGrid>
      <w:tr w:rsidR="008C62BC" w:rsidRPr="008C62BC" w:rsidTr="00A627B9">
        <w:tc>
          <w:tcPr>
            <w:tcW w:w="3278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611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29"/>
          </w:p>
        </w:tc>
        <w:tc>
          <w:tcPr>
            <w:tcW w:w="1722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Размеры повышений, доплат и надбавок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1. Повышение должностных окладов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58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(классах, группах) для обучающихся, воспитанников с ограниченными возможностями здоровья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15 – 20 %, 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Кс = 0,15 –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для детей-сирот и детей, оставшихся без попечения родителей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20 %, Кс = 0,2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исправительных учреждениях: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образовательном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исправительном учреждении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- за особые условия работы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исправительном учреждении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50 % , Кс = 0,5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работникам, занятым обучением лиц, которым решением суда определено содержание в исправительных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строгого или особого видов режима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10 – 15 %, 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Кс = 0,1 – 0,15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учреждений, работающим в сельских населенных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пунктах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рабочих поселках и малых городах Ярославской области;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6 настоящей Методики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25 %, Кс = 0,25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Женщинам 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30 %, Кс = 0,3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оздоровительных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 (классах, группах) для обучающихся и воспитанников, нуждающихся в длительном лечении;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 xml:space="preserve">учителям за индивидуальное обучение на дому детей, больных хроническими заболеваниями (при наличии соответствующего медицинского заключения); </w:t>
            </w:r>
            <w:proofErr w:type="gramEnd"/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учителям за индивидуальное и групповое обучение детей, находящихся на длительном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лечении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детских больницах (клиниках) и детских отделениях больниц для взрослых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Руководящим, педагогическим работникам и другим специалистам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организаций, выполняющих функции медико-педагогических и психолого-медико-педагогических консультаций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Педагогическим и руководящим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учреждений, имеющих статус «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Базовая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школа РАН»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15%, Кс = 0,15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highlight w:val="lightGray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Педагогическим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учреждений Ярославской области,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образовательной организации среднего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профессионального или высшего образования в течение 5 лет*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30 %, Кс = 0,3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vAlign w:val="center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 Компенсационные выплаты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ночное время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35 % часовой тарифной ставки 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соответствии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 статьями 149, 154 Трудового кодекса Российской Федерации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соответствии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 статьями 149, 153 Трудового кодекса Российской Федерации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неблагоприятных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условиях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труда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 12 %, К = 0,12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proofErr w:type="gram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соответствии</w:t>
            </w:r>
            <w:proofErr w:type="gram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 статьями 149, 152 Трудового кодекса Российской Федерации 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* Выплата повышенного должностного оклада педагогическому работнику прекращается при достижении педагогического стажа 5 лет. </w:t>
      </w:r>
    </w:p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2BC">
        <w:rPr>
          <w:rFonts w:ascii="Times New Roman" w:hAnsi="Times New Roman" w:cs="Times New Roman"/>
          <w:sz w:val="28"/>
          <w:szCs w:val="28"/>
        </w:rPr>
        <w:t xml:space="preserve">В случаях, когда работникам предусмотрено повышение должностных окладов (ставок заработной платы) по двум основаниям и более,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</w:rPr>
        <w:t>учреждениях при исправительных учреждениях.</w:t>
      </w:r>
      <w:proofErr w:type="gramEnd"/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6.2. Перечень должностей работников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учреждений, расположенных в </w:t>
      </w:r>
      <w:proofErr w:type="gramStart"/>
      <w:r w:rsidR="00936EC7">
        <w:rPr>
          <w:rFonts w:ascii="Times New Roman" w:hAnsi="Times New Roman" w:cs="Times New Roman"/>
          <w:sz w:val="28"/>
          <w:szCs w:val="28"/>
          <w:lang w:eastAsia="ru-RU"/>
        </w:rPr>
        <w:t>Пошехонском</w:t>
      </w:r>
      <w:proofErr w:type="gramEnd"/>
      <w:r w:rsidR="00936E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, имеющих право на повышение базового оклада на 25 процентов: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6.2.1. Руководитель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6.2.2. Заместитель руководителя,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работе, заместитель руководителя по научной работе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6.2.3. Главный специалист (главный бухгалтер, главный инженер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6.2.4. Руководитель структурного подразделения,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 Специалисты всех категорий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6.2.5.1. Врач-специалист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6.2.5.2. Психолог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6.2.5.3. Логопед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6.2.5.4. Дежурный по режиму (включая </w:t>
      </w:r>
      <w:proofErr w:type="gram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6.2.5.5. Механик, техник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6.2.5.6. Дежурный по общежитию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6.2.5.7. Бухгалтер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6.2.5.8. Экономист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6.2.5.9. Инженер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6.2.5.10. Программист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6.2.5.11. Юрисконсульт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6.2.5.12. Художник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6.2.5.13. Аккомпаниатор,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6.2.5.14. Экскурсовод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6.2.5.15. Управляющий учебным хозяйством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6.2.5.16. Комендант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6.2.5.17. Специалист по кадровой работе, инспектор по кадрам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6.2.5.18. Библиотекарь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6.2.5.19. Зубной врач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6.2.5.20. Фельдшер, инструктор по лечебной физкультуре, медицинская сестра, диетсестра</w:t>
      </w:r>
    </w:p>
    <w:p w:rsidR="008C62BC" w:rsidRPr="008C62BC" w:rsidRDefault="008C62BC" w:rsidP="008C62BC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6.2.5.21. Секретарь учебной части (диспетчер).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7. Минимальный уровень заработной платы работников </w:t>
      </w:r>
    </w:p>
    <w:p w:rsidR="008C62BC" w:rsidRPr="008C62BC" w:rsidRDefault="005841C4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Месячная заработная плата </w:t>
      </w:r>
      <w:r w:rsidR="000E39AD">
        <w:rPr>
          <w:rFonts w:ascii="Times New Roman" w:hAnsi="Times New Roman" w:cs="Times New Roman"/>
          <w:sz w:val="28"/>
          <w:szCs w:val="28"/>
          <w:lang w:eastAsia="ru-RU"/>
        </w:rPr>
        <w:t>работников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C62BC">
        <w:rPr>
          <w:rFonts w:ascii="Times New Roman" w:hAnsi="Times New Roman" w:cs="Times New Roman"/>
          <w:sz w:val="28"/>
          <w:szCs w:val="28"/>
        </w:rPr>
        <w:t xml:space="preserve">, полностью отработавших за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 w:rsidRPr="008C62B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, установленного федеральным законом.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Порядок и условия почасовой оплаты труда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8.1. Почасовая оплата труда педагогических работников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 применяется при оплате: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8.1.1. За часы, отработанные в </w:t>
      </w:r>
      <w:proofErr w:type="gram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8.1.2. За часы педагогической работы, отработанные учителями при работе с заочниками и детьми, находящимися на длительном лечении в медицинской организации, сверх объема, установленного им при тарификации.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8.1.3. За педагогическую работу специалистов, привлекаемых для педагогической работы.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C62BC" w:rsidRPr="008C62BC" w:rsidSect="001760CD">
          <w:headerReference w:type="first" r:id="rId15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4145EF" w:rsidRPr="004145EF" w:rsidRDefault="004145EF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Оплата труда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5EF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спортивной направленности</w:t>
      </w:r>
      <w:r w:rsidR="001A77B3"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 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Ярославской области для </w:t>
      </w:r>
      <w:r w:rsidRPr="004145EF">
        <w:rPr>
          <w:rFonts w:ascii="Times New Roman" w:hAnsi="Times New Roman" w:cs="Times New Roman"/>
          <w:sz w:val="28"/>
          <w:szCs w:val="28"/>
        </w:rPr>
        <w:t>командных и игровых видов спорта (футбол, баскетбол и другие)</w:t>
      </w:r>
    </w:p>
    <w:p w:rsidR="004145EF" w:rsidRPr="004145EF" w:rsidRDefault="004145EF" w:rsidP="004145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 оплаты труда тренера-преподавателя по спорту за подготовку одного занимающегося </w:t>
      </w:r>
      <w:r w:rsidR="001A77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Pr="004145EF">
        <w:rPr>
          <w:rFonts w:ascii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от должностного оклада (ставки заработной платы))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2545"/>
        <w:gridCol w:w="2821"/>
        <w:gridCol w:w="2019"/>
        <w:gridCol w:w="2130"/>
        <w:gridCol w:w="2274"/>
      </w:tblGrid>
      <w:tr w:rsidR="004145EF" w:rsidRPr="008E3103" w:rsidTr="000E39AD">
        <w:trPr>
          <w:trHeight w:val="2022"/>
        </w:trPr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Этапы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Период обучения, лет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 xml:space="preserve">Норматив оплаты труда тренера-преподавателя по спорту за подготовку одного занимающегося, в </w:t>
            </w:r>
            <w:proofErr w:type="gramStart"/>
            <w:r w:rsidRPr="008E3103">
              <w:rPr>
                <w:rFonts w:cs="Times New Roman"/>
                <w:szCs w:val="28"/>
              </w:rPr>
              <w:t>процентах</w:t>
            </w:r>
            <w:proofErr w:type="gramEnd"/>
            <w:r w:rsidRPr="008E3103">
              <w:rPr>
                <w:rFonts w:cs="Times New Roman"/>
                <w:szCs w:val="28"/>
              </w:rPr>
              <w:t xml:space="preserve"> к должностному окладу (ставке заработной платы)*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Нормативная наполняемость группы,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Максимальная наполняемость группы, человек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Максимальный объем тренировочной нагрузки, часов в неделю</w:t>
            </w:r>
          </w:p>
        </w:tc>
      </w:tr>
      <w:tr w:rsidR="004145EF" w:rsidRPr="008E3103" w:rsidTr="000E39AD">
        <w:trPr>
          <w:tblHeader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Спортивно-оздоровительный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Начальной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1 года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</w:tr>
      <w:tr w:rsidR="000E39AD" w:rsidRPr="008E3103" w:rsidTr="000E39AD"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Учебно-тренировочный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– 2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10,5</w:t>
            </w:r>
          </w:p>
        </w:tc>
      </w:tr>
      <w:tr w:rsidR="000E39AD" w:rsidRPr="008E3103" w:rsidTr="000E39AD">
        <w:trPr>
          <w:trHeight w:val="563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2 лет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15</w:t>
            </w:r>
          </w:p>
        </w:tc>
      </w:tr>
      <w:tr w:rsidR="000E39AD" w:rsidRPr="008E3103" w:rsidTr="000E39AD">
        <w:trPr>
          <w:trHeight w:val="305"/>
        </w:trPr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Спортивного совершенствования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до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</w:tr>
      <w:tr w:rsidR="000E39AD" w:rsidRPr="008E3103" w:rsidTr="000E39AD">
        <w:trPr>
          <w:trHeight w:val="355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  <w:tr w:rsidR="004145EF" w:rsidRPr="008E3103" w:rsidTr="000E39AD">
        <w:trPr>
          <w:trHeight w:val="523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Высшего спортивного мастерства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</w:tbl>
    <w:p w:rsidR="004145EF" w:rsidRPr="008E3103" w:rsidRDefault="004145EF" w:rsidP="004145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69705C">
        <w:rPr>
          <w:rFonts w:cs="Times New Roman"/>
          <w:szCs w:val="28"/>
          <w:lang w:eastAsia="ru-RU"/>
        </w:rPr>
        <w:t>*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  <w:proofErr w:type="gramEnd"/>
    </w:p>
    <w:p w:rsidR="004145EF" w:rsidRPr="003D1E8D" w:rsidRDefault="004145EF" w:rsidP="004145EF">
      <w:pPr>
        <w:jc w:val="both"/>
      </w:pPr>
      <w:r>
        <w:lastRenderedPageBreak/>
        <w:br/>
      </w:r>
    </w:p>
    <w:p w:rsidR="007053F5" w:rsidRDefault="007053F5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E62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294" w:rsidSect="004145E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851" w:right="1247" w:bottom="567" w:left="1134" w:header="0" w:footer="0" w:gutter="0"/>
          <w:cols w:space="708"/>
          <w:docGrid w:linePitch="381"/>
        </w:sectPr>
      </w:pPr>
    </w:p>
    <w:p w:rsidR="00E62294" w:rsidRPr="00CB1085" w:rsidRDefault="00E62294" w:rsidP="00E62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Методике </w:t>
      </w:r>
    </w:p>
    <w:p w:rsidR="00E62294" w:rsidRDefault="00E62294" w:rsidP="00E622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294" w:rsidRPr="00CB1085" w:rsidRDefault="00E62294" w:rsidP="00E622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ОБЪЕМНЫЕ ПОКАЗАТЕЛИ И ПОРЯДОК ОТНЕСЕНИЯ ОБРАЗОВАТЕЛЬНЫХ УЧРЕЖДЕНИЙ ПОШЕХОНСКОГО МУНИЦИПАЛЬНОГО РАЙОНА ЯРОСЛАВСКОЙ ОБЛАСТИ К ГРУППАМ ПО ОПЛАТЕ ТРУДА РУКОВОДИТЕЛЕЙ</w:t>
      </w:r>
    </w:p>
    <w:p w:rsidR="00E62294" w:rsidRPr="00DB3FEA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CB1085" w:rsidRDefault="00E62294" w:rsidP="00E622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Основным критерием для определения должностного оклада руководителей образовательных учреждений Пошехонского муниципального Ярославской области являются группы образовательных учреждений по оплате труда руководителей (далее - группы), определяемые на основе объемных показателей.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образовательного учреждения и другие показатели, значительно осложняющие работу по руководству учреждением.</w:t>
      </w:r>
    </w:p>
    <w:p w:rsidR="00E62294" w:rsidRPr="00CB1085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Объемные показатели</w:t>
      </w:r>
    </w:p>
    <w:p w:rsidR="00E62294" w:rsidRPr="00CB1085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объемным показателям для определения базового должностного оклада руководителей образовательных учреждений установлено четыре группы.</w:t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показателям:</w:t>
      </w:r>
    </w:p>
    <w:tbl>
      <w:tblPr>
        <w:tblStyle w:val="a8"/>
        <w:tblW w:w="9320" w:type="dxa"/>
        <w:tblInd w:w="5" w:type="dxa"/>
        <w:tblLook w:val="04A0" w:firstRow="1" w:lastRow="0" w:firstColumn="1" w:lastColumn="0" w:noHBand="0" w:noVBand="1"/>
      </w:tblPr>
      <w:tblGrid>
        <w:gridCol w:w="659"/>
        <w:gridCol w:w="3547"/>
        <w:gridCol w:w="2579"/>
        <w:gridCol w:w="2535"/>
      </w:tblGrid>
      <w:tr w:rsidR="00E62294" w:rsidRPr="00DB3FEA" w:rsidTr="00E62294">
        <w:trPr>
          <w:trHeight w:val="15"/>
        </w:trPr>
        <w:tc>
          <w:tcPr>
            <w:tcW w:w="667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(воспитанников) в образовательных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&lt;*&gt;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расчета за каждого обучающегося (воспитанника)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общеобразовательное учреждение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образовательное учреждение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детей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учреждение начального и среднего профессионального образования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специальное (коррекционное) образовательное учреждение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образовательное учреждение для детей-сирот и детей, оставшихся без попечения родителей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групп в образовательном учреждении, за исключением образовательных учреждений для детей-сирот и детей, оставшихся без попечения родителей (в городском образовательном учреждении наполняемость группы:</w:t>
            </w:r>
            <w:proofErr w:type="gramEnd"/>
          </w:p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- 15 человек для детей в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трех лет;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- 20 человек для детей в возрасте от 3 до 7 лет;</w:t>
            </w:r>
          </w:p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сельском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наполняемость группы считать по фактическим данным)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расчета на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работников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работника, а также дополнительно за каждого работника, имеющего: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первую квалификационную категорию высшую квалификационную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категорию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групп продленного дня в общеобразовательном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Круглосуточное пребывание обучающихся (воспитанников) в дошкольных и других образовательных учреждениях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наличие группы с круглосуточным пребыванием обучающихся (воспитанников);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</w:t>
            </w:r>
            <w:proofErr w:type="spellEnd"/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филиалов, учебно-консультационного пункта, интерната при образовательном учреждении, общежития и других структурных подразделений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каждое структурное подразделение с количеством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(проживающих):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50 до 100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100 до 200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обучающихся (воспитанников)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находящихся на полном государственном обеспечении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обучающегося (воспитанника) дополнительно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детей: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 спортивного совершенствования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за каждого обучающегося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 высшего спортивного мастерства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за каждого обучающегося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оборудованных и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используемых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компьютерных классов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мультимедийного оборудования и мультимедийных изданий)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каждый класс,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медиатеку</w:t>
            </w:r>
            <w:proofErr w:type="spellEnd"/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оборудованных и используемых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спортивной площадки, стадиона, бассейна, тира и других спортивных сооружений &lt;**&gt; (в зависимости от их состояния и степени использования)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спортивного сооружения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собственного оборудованного медицинского кабинета, оздоровительно-восстановительного центра, столовой, буфета (со штатным персоналом)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эксплуатации: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автотранспортных средств, сельхозмашин, строительной и другой самоходной техники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единицу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10, но не более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учебных кораблей, катеров и другой учебной техники; школьного автобуса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единицу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объектов (лагерей, баз отдыха, дач и др.), находящихся на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учреждения;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лагерей дневного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пребывания, трудовых, оздоровительных лагерей (центров), инструктивных лагерей, организуемых образовательным учреждением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учебно-опытного участка, парникового хозяйства, подсобного сельского хозяйства, учебного хозяйства, теплиц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котельной, овощехранилища, хозяйственного склада, выгреба, игровых площадок, колодцев, прачечной, очистных и других сооружений в виде отдельно стоящих зданий, находящихся на балансе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водопровода и других коммунальных услуг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профессиональной подготовки, профильных классов (групп), кроме учреждений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класс (группу)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индивидуального обучения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 (по медицинским показаниям)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подвоза детей (при отсутствии школьного автобуса)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многосменности</w:t>
            </w:r>
            <w:proofErr w:type="spellEnd"/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класс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педагогов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 топливом (включая пенсионеров)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каждого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5, но не более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музея установленного образца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нескольких зданий, используемых для ведения образовательной деятельности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каждое здание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15, но не более 70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специальных (коррекционных) учреждений):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специальных (коррекционных) классов (групп)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класс (группу)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разновозрастных групп (РВГ)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обучающихся (воспитанников) с ограниченными возможностями здоровья в общеразвивающих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общеобразовательных классах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компенсирующих групп комбинированного вида в дошкольных образовательных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специальных медицинских групп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образовательного учреждения статуса "Инновационная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площадка", "Ресурсный центр":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приказа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муниципальном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региональном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федеральном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общеобразовательном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межшкольного методического центра (ММЦ)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групп дополнительного образования детей, центров, студий детского творчества на базе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обучающегося (воспитанника)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учреждений дополнительного образования детей); создание условий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функционирования групп дополнительного образования детей других образовательных учреждений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5,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более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внебюджетной деятельности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обучающихся (воспитанников)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отсутствии централизованной поставки продуктов)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Удаленность образовательного учреждения от администрации муниципального района на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20 км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дошкольном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консультационного пункта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программ обучения обучающихся с использованием дистанционных технологий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программу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</w:tbl>
    <w:p w:rsidR="00E62294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C96CFF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Контингент детей дошкольных групп образовательных учреждений не включается.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&lt;**&gt; Спортивные залы не относятся к спортивным сооружениям.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2294" w:rsidRPr="00BF6878" w:rsidRDefault="00E62294" w:rsidP="00E622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отнесения образовательных учреждений Пошехонского муниципального района Ярославской области к группам по оплате труда руководителей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документов, подтверждающих объемы работы учреждения. Группа для вновь созданных образовательных учреждений устанавливается исходя из плановых (проектных) показателей, но не более чем на 2 года.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Конкретное количество баллов, предусмотренных по показателям с приставкой "до", устанавливается органом управления образованием по подчиненности образовательного учреждения.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установлении группы количество обучающихся (воспитанников) образовательных учреждений определяется для: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общеобразовательных учреждений - по списочному составу на начало учебного года;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учреждений начального и среднего профессионального образования - по списочному составу на начало учебного года по состоянию на октябрь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учреждений дополнительного образования детей - по списочному составу обучающихся на 1 января текущего года.</w:t>
      </w:r>
    </w:p>
    <w:p w:rsidR="00E62294" w:rsidRDefault="00E62294" w:rsidP="00E62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занимающиеся в нескольких кружках, секциях, группах учреждения дополнительного образования детей, учитываются 1 раз.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мероприятия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E62294" w:rsidRPr="00C96CFF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Количество работников в образовательном </w:t>
      </w:r>
      <w:proofErr w:type="gramStart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состоянию на 1 января текущего года по лицевым счетам.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руководителями образовательных учреждений, находящихся на капитальном </w:t>
      </w:r>
      <w:proofErr w:type="gramStart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сохраняется группа, определенная до начала ремонта, но не более чем на один год.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Муниципальные органы управления образованием могут относить образовательные учреждения, добившиеся высоких и стабильных результатов работы, на одну группу выше по сравнению с группой, определенной в </w:t>
      </w:r>
      <w:proofErr w:type="gramStart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Группы устанавливаются в зависимости от количества баллов, исчисленных по объемным показателям: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134"/>
        <w:gridCol w:w="1276"/>
        <w:gridCol w:w="1241"/>
      </w:tblGrid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(вид) образовательного учреждения</w:t>
            </w:r>
          </w:p>
        </w:tc>
        <w:tc>
          <w:tcPr>
            <w:tcW w:w="5068" w:type="dxa"/>
            <w:gridSpan w:val="4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по группам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группа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группа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начального и среднего профессионального образования (кроме лицеев и колледжей); общеобразовательные лицеи и гимназии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лицеи,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колледжи 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свыше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350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(кроме лицеев и гимназий); учреждения дополнительного образования детей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500 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350 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200 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Дошкольные образовательные учреждения; образовательные учреждения для детей-сирот и детей, оставшихся без попечения родителей, специальные (коррекционные) образовательные учреждения для детей с ограниченными возможностями здоровья, санаторные образовательные учреждения для воспитанников, нуждающихся в длительном лечении, специальные образовательные учреждения для детей и подростков с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</w:t>
            </w:r>
            <w:proofErr w:type="gramEnd"/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350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</w:t>
            </w:r>
          </w:p>
        </w:tc>
      </w:tr>
    </w:tbl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2294" w:rsidSect="00E62294">
          <w:pgSz w:w="11906" w:h="16838" w:code="9"/>
          <w:pgMar w:top="1247" w:right="567" w:bottom="1134" w:left="851" w:header="0" w:footer="0" w:gutter="0"/>
          <w:cols w:space="708"/>
          <w:docGrid w:linePitch="381"/>
        </w:sect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DB3FEA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294" w:rsidRPr="00DB3FEA" w:rsidSect="004145EF">
      <w:pgSz w:w="16838" w:h="11906" w:orient="landscape" w:code="9"/>
      <w:pgMar w:top="851" w:right="124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8D" w:rsidRDefault="00AA6B8D" w:rsidP="004145EF">
      <w:pPr>
        <w:spacing w:after="0" w:line="240" w:lineRule="auto"/>
      </w:pPr>
      <w:r>
        <w:separator/>
      </w:r>
    </w:p>
  </w:endnote>
  <w:endnote w:type="continuationSeparator" w:id="0">
    <w:p w:rsidR="00AA6B8D" w:rsidRDefault="00AA6B8D" w:rsidP="0041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Default="00AA6B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Pr="00134E25" w:rsidRDefault="00AA6B8D" w:rsidP="00A627B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781"/>
      <w:gridCol w:w="4892"/>
    </w:tblGrid>
    <w:tr w:rsidR="00AA6B8D" w:rsidTr="00A627B9">
      <w:tc>
        <w:tcPr>
          <w:tcW w:w="3333" w:type="pct"/>
          <w:shd w:val="clear" w:color="auto" w:fill="auto"/>
        </w:tcPr>
        <w:p w:rsidR="00AA6B8D" w:rsidRPr="00134E25" w:rsidRDefault="00AA6B8D" w:rsidP="00A627B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134E2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6B8D" w:rsidRPr="00134E25" w:rsidRDefault="00AA6B8D" w:rsidP="00A627B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34E25">
            <w:rPr>
              <w:rFonts w:cs="Times New Roman"/>
              <w:color w:val="808080"/>
              <w:sz w:val="18"/>
            </w:rPr>
            <w:t xml:space="preserve">Страница </w:t>
          </w:r>
          <w:r w:rsidRPr="00134E25">
            <w:rPr>
              <w:rFonts w:cs="Times New Roman"/>
              <w:color w:val="808080"/>
              <w:sz w:val="18"/>
            </w:rPr>
            <w:fldChar w:fldCharType="begin"/>
          </w:r>
          <w:r w:rsidRPr="00134E25">
            <w:rPr>
              <w:rFonts w:cs="Times New Roman"/>
              <w:color w:val="808080"/>
              <w:sz w:val="18"/>
            </w:rPr>
            <w:instrText xml:space="preserve"> PAGE </w:instrText>
          </w:r>
          <w:r w:rsidRPr="00134E25">
            <w:rPr>
              <w:rFonts w:cs="Times New Roman"/>
              <w:color w:val="808080"/>
              <w:sz w:val="18"/>
            </w:rPr>
            <w:fldChar w:fldCharType="separate"/>
          </w:r>
          <w:r w:rsidRPr="00134E25">
            <w:rPr>
              <w:rFonts w:cs="Times New Roman"/>
              <w:noProof/>
              <w:color w:val="808080"/>
              <w:sz w:val="18"/>
            </w:rPr>
            <w:t>3</w:t>
          </w:r>
          <w:r w:rsidRPr="00134E25">
            <w:rPr>
              <w:rFonts w:cs="Times New Roman"/>
              <w:color w:val="808080"/>
              <w:sz w:val="18"/>
            </w:rPr>
            <w:fldChar w:fldCharType="end"/>
          </w:r>
          <w:r w:rsidRPr="00134E25">
            <w:rPr>
              <w:rFonts w:cs="Times New Roman"/>
              <w:color w:val="808080"/>
              <w:sz w:val="18"/>
            </w:rPr>
            <w:t xml:space="preserve"> из </w:t>
          </w:r>
          <w:r w:rsidRPr="00134E25">
            <w:rPr>
              <w:rFonts w:cs="Times New Roman"/>
              <w:color w:val="808080"/>
              <w:sz w:val="18"/>
            </w:rPr>
            <w:fldChar w:fldCharType="begin"/>
          </w:r>
          <w:r w:rsidRPr="00134E2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34E2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56</w:t>
          </w:r>
          <w:r w:rsidRPr="00134E2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A6B8D" w:rsidRPr="00134E25" w:rsidRDefault="00AA6B8D" w:rsidP="00A62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8D" w:rsidRDefault="00AA6B8D" w:rsidP="004145EF">
      <w:pPr>
        <w:spacing w:after="0" w:line="240" w:lineRule="auto"/>
      </w:pPr>
      <w:r>
        <w:separator/>
      </w:r>
    </w:p>
  </w:footnote>
  <w:footnote w:type="continuationSeparator" w:id="0">
    <w:p w:rsidR="00AA6B8D" w:rsidRDefault="00AA6B8D" w:rsidP="0041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Default="00AA6B8D" w:rsidP="00A627B9">
    <w:pPr>
      <w:pStyle w:val="a9"/>
      <w:ind w:firstLine="0"/>
    </w:pPr>
  </w:p>
  <w:p w:rsidR="00AA6B8D" w:rsidRDefault="00AA6B8D" w:rsidP="00A627B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Default="00AA6B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Pr="00134E25" w:rsidRDefault="00AA6B8D" w:rsidP="004145EF">
    <w:pPr>
      <w:pStyle w:val="a9"/>
      <w:tabs>
        <w:tab w:val="clear" w:pos="4677"/>
        <w:tab w:val="clear" w:pos="9355"/>
        <w:tab w:val="left" w:pos="388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8D" w:rsidRDefault="00AA6B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34D"/>
    <w:multiLevelType w:val="multilevel"/>
    <w:tmpl w:val="ECA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EA"/>
    <w:rsid w:val="00002B40"/>
    <w:rsid w:val="00022834"/>
    <w:rsid w:val="0007335C"/>
    <w:rsid w:val="00097F00"/>
    <w:rsid w:val="000A61E3"/>
    <w:rsid w:val="000B06BC"/>
    <w:rsid w:val="000C149E"/>
    <w:rsid w:val="000E39AD"/>
    <w:rsid w:val="000F2AB2"/>
    <w:rsid w:val="001278F6"/>
    <w:rsid w:val="0013499F"/>
    <w:rsid w:val="001760CD"/>
    <w:rsid w:val="001A11FD"/>
    <w:rsid w:val="001A525E"/>
    <w:rsid w:val="001A77B3"/>
    <w:rsid w:val="001B42DC"/>
    <w:rsid w:val="001E12E2"/>
    <w:rsid w:val="001E7506"/>
    <w:rsid w:val="001F650D"/>
    <w:rsid w:val="002303FC"/>
    <w:rsid w:val="00247F70"/>
    <w:rsid w:val="0025542A"/>
    <w:rsid w:val="00262959"/>
    <w:rsid w:val="002931C8"/>
    <w:rsid w:val="002B1248"/>
    <w:rsid w:val="00312B63"/>
    <w:rsid w:val="003427FE"/>
    <w:rsid w:val="0036642F"/>
    <w:rsid w:val="00374D8C"/>
    <w:rsid w:val="00376DD0"/>
    <w:rsid w:val="00385939"/>
    <w:rsid w:val="003A68F5"/>
    <w:rsid w:val="003C1A7D"/>
    <w:rsid w:val="003D3188"/>
    <w:rsid w:val="003D79D5"/>
    <w:rsid w:val="0040176A"/>
    <w:rsid w:val="0040622B"/>
    <w:rsid w:val="00410901"/>
    <w:rsid w:val="004145EF"/>
    <w:rsid w:val="00415E6F"/>
    <w:rsid w:val="0043223D"/>
    <w:rsid w:val="004411C1"/>
    <w:rsid w:val="0045110A"/>
    <w:rsid w:val="004B262C"/>
    <w:rsid w:val="004D19B9"/>
    <w:rsid w:val="004D7668"/>
    <w:rsid w:val="004E7F1C"/>
    <w:rsid w:val="005039CA"/>
    <w:rsid w:val="00540DB4"/>
    <w:rsid w:val="0056556C"/>
    <w:rsid w:val="005841C4"/>
    <w:rsid w:val="005B49A0"/>
    <w:rsid w:val="005C5C50"/>
    <w:rsid w:val="005D1EE4"/>
    <w:rsid w:val="005F1C2C"/>
    <w:rsid w:val="005F73FA"/>
    <w:rsid w:val="00615552"/>
    <w:rsid w:val="00620C27"/>
    <w:rsid w:val="00633E77"/>
    <w:rsid w:val="006435F2"/>
    <w:rsid w:val="006442BE"/>
    <w:rsid w:val="00655F19"/>
    <w:rsid w:val="006562DE"/>
    <w:rsid w:val="00657EC2"/>
    <w:rsid w:val="00681F34"/>
    <w:rsid w:val="00697CB1"/>
    <w:rsid w:val="006C15BB"/>
    <w:rsid w:val="006C372F"/>
    <w:rsid w:val="006D0C65"/>
    <w:rsid w:val="006E66AF"/>
    <w:rsid w:val="006F0504"/>
    <w:rsid w:val="006F302B"/>
    <w:rsid w:val="006F3FC2"/>
    <w:rsid w:val="007053F5"/>
    <w:rsid w:val="00720FA6"/>
    <w:rsid w:val="00726307"/>
    <w:rsid w:val="0078533B"/>
    <w:rsid w:val="007A5CDA"/>
    <w:rsid w:val="007F1A1E"/>
    <w:rsid w:val="00815B78"/>
    <w:rsid w:val="0086559F"/>
    <w:rsid w:val="008A23E4"/>
    <w:rsid w:val="008B3EA3"/>
    <w:rsid w:val="008C62BC"/>
    <w:rsid w:val="008F22B6"/>
    <w:rsid w:val="00900EBF"/>
    <w:rsid w:val="00912452"/>
    <w:rsid w:val="009148A5"/>
    <w:rsid w:val="00936EC7"/>
    <w:rsid w:val="00942AED"/>
    <w:rsid w:val="009468DF"/>
    <w:rsid w:val="00951C63"/>
    <w:rsid w:val="0095591B"/>
    <w:rsid w:val="00960DB8"/>
    <w:rsid w:val="0099095F"/>
    <w:rsid w:val="009A6C8F"/>
    <w:rsid w:val="009C0EA2"/>
    <w:rsid w:val="009D63B3"/>
    <w:rsid w:val="009E20F6"/>
    <w:rsid w:val="009E66D6"/>
    <w:rsid w:val="00A22949"/>
    <w:rsid w:val="00A23797"/>
    <w:rsid w:val="00A627B9"/>
    <w:rsid w:val="00A670EF"/>
    <w:rsid w:val="00AA6B8D"/>
    <w:rsid w:val="00AB36E4"/>
    <w:rsid w:val="00AC303A"/>
    <w:rsid w:val="00AD3921"/>
    <w:rsid w:val="00B019F1"/>
    <w:rsid w:val="00B03DD3"/>
    <w:rsid w:val="00B044F7"/>
    <w:rsid w:val="00B13294"/>
    <w:rsid w:val="00B16B52"/>
    <w:rsid w:val="00B2133F"/>
    <w:rsid w:val="00B243AB"/>
    <w:rsid w:val="00B45031"/>
    <w:rsid w:val="00B64F94"/>
    <w:rsid w:val="00BA5E6E"/>
    <w:rsid w:val="00BA6708"/>
    <w:rsid w:val="00BD0121"/>
    <w:rsid w:val="00BE0F47"/>
    <w:rsid w:val="00BF6878"/>
    <w:rsid w:val="00C0555C"/>
    <w:rsid w:val="00C105CB"/>
    <w:rsid w:val="00C40750"/>
    <w:rsid w:val="00C7382A"/>
    <w:rsid w:val="00C865AE"/>
    <w:rsid w:val="00C96CFF"/>
    <w:rsid w:val="00CA78DB"/>
    <w:rsid w:val="00CB1085"/>
    <w:rsid w:val="00CF6D05"/>
    <w:rsid w:val="00D06517"/>
    <w:rsid w:val="00D23FB0"/>
    <w:rsid w:val="00D24641"/>
    <w:rsid w:val="00D32B0E"/>
    <w:rsid w:val="00D45DCC"/>
    <w:rsid w:val="00DB3FEA"/>
    <w:rsid w:val="00E26777"/>
    <w:rsid w:val="00E51D93"/>
    <w:rsid w:val="00E62294"/>
    <w:rsid w:val="00E9473A"/>
    <w:rsid w:val="00EC3E79"/>
    <w:rsid w:val="00EE3B63"/>
    <w:rsid w:val="00EF2135"/>
    <w:rsid w:val="00F026CE"/>
    <w:rsid w:val="00F13B1D"/>
    <w:rsid w:val="00F16AD6"/>
    <w:rsid w:val="00F2234E"/>
    <w:rsid w:val="00F31F2A"/>
    <w:rsid w:val="00F5290A"/>
    <w:rsid w:val="00F614E9"/>
    <w:rsid w:val="00F7549E"/>
    <w:rsid w:val="00FD1DFB"/>
    <w:rsid w:val="00FD44D1"/>
    <w:rsid w:val="00F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40"/>
  </w:style>
  <w:style w:type="paragraph" w:styleId="1">
    <w:name w:val="heading 1"/>
    <w:basedOn w:val="a"/>
    <w:link w:val="10"/>
    <w:uiPriority w:val="9"/>
    <w:qFormat/>
    <w:rsid w:val="00DB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3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3FEA"/>
  </w:style>
  <w:style w:type="paragraph" w:customStyle="1" w:styleId="headertext">
    <w:name w:val="header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3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FEA"/>
    <w:rPr>
      <w:color w:val="800080"/>
      <w:u w:val="single"/>
    </w:rPr>
  </w:style>
  <w:style w:type="paragraph" w:customStyle="1" w:styleId="formattext">
    <w:name w:val="format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6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442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A61E3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0A61E3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"/>
    <w:uiPriority w:val="34"/>
    <w:qFormat/>
    <w:rsid w:val="000A61E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e">
    <w:name w:val="Нормальный (таблица)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0A61E3"/>
    <w:rPr>
      <w:color w:val="106BBE"/>
    </w:rPr>
  </w:style>
  <w:style w:type="table" w:customStyle="1" w:styleId="12">
    <w:name w:val="Сетка таблицы1"/>
    <w:basedOn w:val="a1"/>
    <w:next w:val="a8"/>
    <w:uiPriority w:val="59"/>
    <w:rsid w:val="008C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8C62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Body Text Indent"/>
    <w:basedOn w:val="a"/>
    <w:link w:val="af2"/>
    <w:rsid w:val="008C62BC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C62B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62BC"/>
  </w:style>
  <w:style w:type="character" w:styleId="af3">
    <w:name w:val="annotation reference"/>
    <w:uiPriority w:val="99"/>
    <w:unhideWhenUsed/>
    <w:rsid w:val="008C62B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C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8C6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8C62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C62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1"/>
    <w:next w:val="a8"/>
    <w:rsid w:val="008C6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62BC"/>
  </w:style>
  <w:style w:type="numbering" w:customStyle="1" w:styleId="1110">
    <w:name w:val="Нет списка111"/>
    <w:next w:val="a2"/>
    <w:uiPriority w:val="99"/>
    <w:semiHidden/>
    <w:unhideWhenUsed/>
    <w:rsid w:val="008C62BC"/>
  </w:style>
  <w:style w:type="numbering" w:customStyle="1" w:styleId="31">
    <w:name w:val="Нет списка3"/>
    <w:next w:val="a2"/>
    <w:uiPriority w:val="99"/>
    <w:semiHidden/>
    <w:unhideWhenUsed/>
    <w:rsid w:val="008C62BC"/>
  </w:style>
  <w:style w:type="table" w:customStyle="1" w:styleId="22">
    <w:name w:val="Сетка таблицы2"/>
    <w:basedOn w:val="a1"/>
    <w:next w:val="a8"/>
    <w:uiPriority w:val="99"/>
    <w:rsid w:val="008C62B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C62BC"/>
  </w:style>
  <w:style w:type="paragraph" w:styleId="af8">
    <w:name w:val="Revision"/>
    <w:hidden/>
    <w:uiPriority w:val="99"/>
    <w:semiHidden/>
    <w:rsid w:val="008C62B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111">
    <w:name w:val="Сетка таблицы111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C62BC"/>
  </w:style>
  <w:style w:type="table" w:customStyle="1" w:styleId="6">
    <w:name w:val="Сетка таблицы6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3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3FEA"/>
  </w:style>
  <w:style w:type="paragraph" w:customStyle="1" w:styleId="headertext">
    <w:name w:val="header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FEA"/>
    <w:rPr>
      <w:color w:val="800080"/>
      <w:u w:val="single"/>
    </w:rPr>
  </w:style>
  <w:style w:type="paragraph" w:customStyle="1" w:styleId="formattext">
    <w:name w:val="format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A61E3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semiHidden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A61E3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"/>
    <w:uiPriority w:val="34"/>
    <w:qFormat/>
    <w:rsid w:val="000A61E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e">
    <w:name w:val="Нормальный (таблица)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0A6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9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0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6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186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garantF1://8186.0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2AE7-D401-4F9B-BD65-D1A5199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56</Pages>
  <Words>9788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Pochta</cp:lastModifiedBy>
  <cp:revision>31</cp:revision>
  <cp:lastPrinted>2020-02-18T06:32:00Z</cp:lastPrinted>
  <dcterms:created xsi:type="dcterms:W3CDTF">2019-02-19T07:43:00Z</dcterms:created>
  <dcterms:modified xsi:type="dcterms:W3CDTF">2021-03-04T10:37:00Z</dcterms:modified>
</cp:coreProperties>
</file>